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DCFE" w14:textId="2571B4AB" w:rsidR="00000000" w:rsidRDefault="00562030">
      <w:r w:rsidRPr="00562030">
        <w:rPr>
          <w:b/>
          <w:bCs/>
        </w:rPr>
        <w:t>Study 184</w:t>
      </w:r>
      <w:r>
        <w:br/>
      </w:r>
      <w:proofErr w:type="spellStart"/>
      <w:r>
        <w:rPr>
          <w:rFonts w:cs="Arial"/>
        </w:rPr>
        <w:t>Hodis</w:t>
      </w:r>
      <w:proofErr w:type="spellEnd"/>
      <w:r>
        <w:rPr>
          <w:rFonts w:cs="Arial"/>
        </w:rPr>
        <w:t xml:space="preserve"> HN, Mack WJ, LaBree L, et al. Alpha-tocopherol supplementation in healthy individuals reduces low-density lipoprotein oxidation but not atherosclerosis: the Vitamin E Atherosclerosis Prevention Study (VEAPS). </w:t>
      </w:r>
      <w:r>
        <w:rPr>
          <w:rFonts w:ascii="BlinkMacSystemFont" w:hAnsi="BlinkMacSystemFont" w:cs="Arial"/>
          <w:i/>
          <w:iCs/>
          <w:color w:val="212121"/>
          <w:shd w:val="clear" w:color="auto" w:fill="FFFFFF"/>
        </w:rPr>
        <w:t>Circulation</w:t>
      </w:r>
      <w:r>
        <w:rPr>
          <w:rFonts w:cs="Arial"/>
        </w:rPr>
        <w:t xml:space="preserve">. 2002;106(12):1453-1459. </w:t>
      </w:r>
      <w:proofErr w:type="gramStart"/>
      <w:r>
        <w:rPr>
          <w:rFonts w:cs="Arial"/>
        </w:rPr>
        <w:t>doi:10.1161/01.cir</w:t>
      </w:r>
      <w:proofErr w:type="gramEnd"/>
      <w:r>
        <w:rPr>
          <w:rFonts w:cs="Arial"/>
        </w:rPr>
        <w:t>.0000029092.99946.08</w:t>
      </w:r>
      <w:r>
        <w:rPr>
          <w:rFonts w:cs="Arial"/>
        </w:rPr>
        <w:br/>
      </w:r>
      <w:r>
        <w:rPr>
          <w:rFonts w:cs="Arial"/>
        </w:rPr>
        <w:br/>
        <w:t xml:space="preserve">Funding: </w:t>
      </w:r>
      <w:r>
        <w:rPr>
          <w:rFonts w:cs="Arial"/>
        </w:rPr>
        <w:t>NIH funding and Industry funding (Hoffman-La Roche)</w:t>
      </w:r>
      <w:r>
        <w:rPr>
          <w:rFonts w:cs="Arial"/>
        </w:rPr>
        <w:br/>
        <w:t xml:space="preserve">Amendments: None. </w:t>
      </w:r>
      <w:r>
        <w:rPr>
          <w:rFonts w:cs="Arial"/>
        </w:rPr>
        <w:br/>
      </w:r>
      <w:r>
        <w:rPr>
          <w:rFonts w:cs="Arial"/>
        </w:rPr>
        <w:br/>
      </w:r>
      <w:r w:rsidRPr="00562030">
        <w:rPr>
          <w:rFonts w:cs="Arial"/>
          <w:b/>
          <w:bCs/>
        </w:rPr>
        <w:t>Study 185</w:t>
      </w:r>
      <w:r>
        <w:rPr>
          <w:rFonts w:cs="Arial"/>
        </w:rPr>
        <w:br/>
      </w:r>
      <w:r>
        <w:rPr>
          <w:rFonts w:cs="Arial"/>
        </w:rPr>
        <w:t>Gao S, Zhao D, Wang M, et al. Association Between Circulating Oxidized LDL and Atherosclerotic Cardiovascular Disease: A Meta-analysis of Observational Studies. </w:t>
      </w:r>
      <w:r>
        <w:rPr>
          <w:rFonts w:ascii="BlinkMacSystemFont" w:hAnsi="BlinkMacSystemFont" w:cs="Arial"/>
          <w:i/>
          <w:iCs/>
          <w:color w:val="212121"/>
          <w:shd w:val="clear" w:color="auto" w:fill="FFFFFF"/>
        </w:rPr>
        <w:t xml:space="preserve">Can J </w:t>
      </w:r>
      <w:proofErr w:type="spellStart"/>
      <w:r>
        <w:rPr>
          <w:rFonts w:ascii="BlinkMacSystemFont" w:hAnsi="BlinkMacSystemFont" w:cs="Arial"/>
          <w:i/>
          <w:iCs/>
          <w:color w:val="212121"/>
          <w:shd w:val="clear" w:color="auto" w:fill="FFFFFF"/>
        </w:rPr>
        <w:t>Cardiol</w:t>
      </w:r>
      <w:proofErr w:type="spellEnd"/>
      <w:r>
        <w:rPr>
          <w:rFonts w:cs="Arial"/>
        </w:rPr>
        <w:t xml:space="preserve">. 2017;33(12):1624-1632. </w:t>
      </w:r>
      <w:proofErr w:type="gramStart"/>
      <w:r>
        <w:rPr>
          <w:rFonts w:cs="Arial"/>
        </w:rPr>
        <w:t>doi:10.1016/j.cjca</w:t>
      </w:r>
      <w:proofErr w:type="gramEnd"/>
      <w:r>
        <w:rPr>
          <w:rFonts w:cs="Arial"/>
        </w:rPr>
        <w:t>.2017.07.015</w:t>
      </w:r>
      <w:r>
        <w:rPr>
          <w:rFonts w:cs="Arial"/>
        </w:rPr>
        <w:br/>
      </w:r>
      <w:r>
        <w:rPr>
          <w:rFonts w:cs="Arial"/>
        </w:rPr>
        <w:br/>
        <w:t xml:space="preserve">Funding: </w:t>
      </w:r>
      <w:r w:rsidRPr="00562030">
        <w:rPr>
          <w:rFonts w:cs="Arial"/>
        </w:rPr>
        <w:t>Public funding - National Key Research, National Natural Science Foundation of China</w:t>
      </w:r>
      <w:r>
        <w:rPr>
          <w:rFonts w:cs="Arial"/>
        </w:rPr>
        <w:br/>
        <w:t xml:space="preserve">Amendments: None. </w:t>
      </w:r>
      <w:r>
        <w:rPr>
          <w:rFonts w:cs="Arial"/>
        </w:rPr>
        <w:br/>
      </w:r>
      <w:r>
        <w:rPr>
          <w:rFonts w:cs="Arial"/>
        </w:rPr>
        <w:br/>
      </w:r>
      <w:r w:rsidRPr="00562030">
        <w:rPr>
          <w:rFonts w:cs="Arial"/>
          <w:b/>
          <w:bCs/>
        </w:rPr>
        <w:t>Study 186</w:t>
      </w:r>
      <w:r>
        <w:rPr>
          <w:rFonts w:cs="Arial"/>
        </w:rPr>
        <w:br/>
      </w:r>
      <w:r>
        <w:rPr>
          <w:rFonts w:cs="Arial"/>
        </w:rPr>
        <w:t>Koenig W, Karakas M, Zierer A, et al. Oxidized LDL and the risk of coronary heart disease: results from the MONICA/KORA Augsburg Study. </w:t>
      </w:r>
      <w:r>
        <w:rPr>
          <w:rFonts w:ascii="BlinkMacSystemFont" w:hAnsi="BlinkMacSystemFont" w:cs="Arial"/>
          <w:i/>
          <w:iCs/>
          <w:color w:val="212121"/>
          <w:shd w:val="clear" w:color="auto" w:fill="FFFFFF"/>
        </w:rPr>
        <w:t>Clin Chem</w:t>
      </w:r>
      <w:r>
        <w:rPr>
          <w:rFonts w:cs="Arial"/>
        </w:rPr>
        <w:t>. 2011;57(8):1196-1200. doi:10.1373/clinchem.2011.165134</w:t>
      </w:r>
      <w:r>
        <w:rPr>
          <w:rFonts w:cs="Arial"/>
        </w:rPr>
        <w:br/>
      </w:r>
      <w:r>
        <w:rPr>
          <w:rFonts w:cs="Arial"/>
        </w:rPr>
        <w:br/>
        <w:t>Funding: P</w:t>
      </w:r>
      <w:r>
        <w:rPr>
          <w:rFonts w:cs="Arial"/>
        </w:rPr>
        <w:t>ublic funding - German Research Council and University of Ulm</w:t>
      </w:r>
      <w:r>
        <w:rPr>
          <w:rFonts w:cs="Arial"/>
        </w:rPr>
        <w:br/>
        <w:t>Amendments: None.</w:t>
      </w:r>
      <w:r>
        <w:rPr>
          <w:rFonts w:cs="Arial"/>
        </w:rPr>
        <w:br/>
      </w:r>
      <w:r>
        <w:rPr>
          <w:rFonts w:cs="Arial"/>
        </w:rPr>
        <w:br/>
      </w:r>
      <w:r w:rsidRPr="00562030">
        <w:rPr>
          <w:rFonts w:cs="Arial"/>
          <w:b/>
          <w:bCs/>
        </w:rPr>
        <w:t>Study 187</w:t>
      </w:r>
      <w:r>
        <w:rPr>
          <w:rFonts w:cs="Arial"/>
        </w:rPr>
        <w:br/>
      </w:r>
      <w:r>
        <w:rPr>
          <w:rFonts w:cs="Arial"/>
        </w:rPr>
        <w:t>Gao S, Zhao D, Qi Y, et al. Circulating Oxidized Low-Density Lipoprotein Levels Independently Predict 10-Year Progression of Subclinical Carotid Atherosclerosis: A Community-Based Cohort Study. </w:t>
      </w:r>
      <w:r>
        <w:rPr>
          <w:rFonts w:ascii="Roboto" w:hAnsi="Roboto" w:cs="Arial"/>
          <w:i/>
          <w:iCs/>
          <w:color w:val="212121"/>
          <w:sz w:val="26"/>
          <w:szCs w:val="26"/>
          <w:shd w:val="clear" w:color="auto" w:fill="FFFFFF"/>
        </w:rPr>
        <w:t xml:space="preserve">J </w:t>
      </w:r>
      <w:proofErr w:type="spellStart"/>
      <w:r>
        <w:rPr>
          <w:rFonts w:ascii="Roboto" w:hAnsi="Roboto" w:cs="Arial"/>
          <w:i/>
          <w:iCs/>
          <w:color w:val="212121"/>
          <w:sz w:val="26"/>
          <w:szCs w:val="26"/>
          <w:shd w:val="clear" w:color="auto" w:fill="FFFFFF"/>
        </w:rPr>
        <w:t>Atheroscler</w:t>
      </w:r>
      <w:proofErr w:type="spellEnd"/>
      <w:r>
        <w:rPr>
          <w:rFonts w:ascii="Roboto" w:hAnsi="Roboto" w:cs="Arial"/>
          <w:i/>
          <w:iCs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 w:cs="Arial"/>
          <w:i/>
          <w:iCs/>
          <w:color w:val="212121"/>
          <w:sz w:val="26"/>
          <w:szCs w:val="26"/>
          <w:shd w:val="clear" w:color="auto" w:fill="FFFFFF"/>
        </w:rPr>
        <w:t>Thromb</w:t>
      </w:r>
      <w:proofErr w:type="spellEnd"/>
      <w:r>
        <w:rPr>
          <w:rFonts w:cs="Arial"/>
        </w:rPr>
        <w:t>. 2018;25(10):1032-1043. doi:10.5551/jat.43299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t xml:space="preserve">Funding: </w:t>
      </w:r>
      <w:r w:rsidRPr="00562030">
        <w:rPr>
          <w:rFonts w:cs="Arial"/>
        </w:rPr>
        <w:t>Public funding - National Key Research, National Natural Science Foundation of China</w:t>
      </w:r>
      <w:r>
        <w:rPr>
          <w:rFonts w:cs="Arial"/>
        </w:rPr>
        <w:br/>
        <w:t>Amendments: None.</w:t>
      </w:r>
      <w:r>
        <w:rPr>
          <w:rFonts w:cs="Arial"/>
        </w:rPr>
        <w:br/>
      </w:r>
      <w:r>
        <w:rPr>
          <w:rFonts w:cs="Arial"/>
        </w:rPr>
        <w:br/>
      </w:r>
      <w:r w:rsidRPr="00562030">
        <w:rPr>
          <w:rFonts w:cs="Arial"/>
          <w:b/>
          <w:bCs/>
        </w:rPr>
        <w:t>Study 188</w:t>
      </w:r>
      <w:r>
        <w:rPr>
          <w:rFonts w:cs="Arial"/>
        </w:rPr>
        <w:br/>
      </w:r>
      <w:r>
        <w:rPr>
          <w:rFonts w:cs="Arial"/>
        </w:rPr>
        <w:t xml:space="preserve">Poznyak AV, Nikiforov NG, Markin AM, et al. Overview of </w:t>
      </w:r>
      <w:proofErr w:type="spellStart"/>
      <w:r>
        <w:rPr>
          <w:rFonts w:cs="Arial"/>
        </w:rPr>
        <w:t>OxLDL</w:t>
      </w:r>
      <w:proofErr w:type="spellEnd"/>
      <w:r>
        <w:rPr>
          <w:rFonts w:cs="Arial"/>
        </w:rPr>
        <w:t xml:space="preserve"> and Its Impact on Cardiovascular Health: Focus on Atherosclerosis. </w:t>
      </w:r>
      <w:r>
        <w:rPr>
          <w:rFonts w:ascii="BlinkMacSystemFont" w:hAnsi="BlinkMacSystemFont" w:cs="Arial"/>
          <w:i/>
          <w:iCs/>
          <w:color w:val="212121"/>
          <w:shd w:val="clear" w:color="auto" w:fill="FFFFFF"/>
        </w:rPr>
        <w:t xml:space="preserve">Front </w:t>
      </w:r>
      <w:proofErr w:type="spellStart"/>
      <w:r>
        <w:rPr>
          <w:rFonts w:ascii="BlinkMacSystemFont" w:hAnsi="BlinkMacSystemFont" w:cs="Arial"/>
          <w:i/>
          <w:iCs/>
          <w:color w:val="212121"/>
          <w:shd w:val="clear" w:color="auto" w:fill="FFFFFF"/>
        </w:rPr>
        <w:t>Pharmacol</w:t>
      </w:r>
      <w:proofErr w:type="spellEnd"/>
      <w:r>
        <w:rPr>
          <w:rFonts w:cs="Arial"/>
        </w:rPr>
        <w:t xml:space="preserve">. </w:t>
      </w:r>
      <w:proofErr w:type="gramStart"/>
      <w:r>
        <w:rPr>
          <w:rFonts w:cs="Arial"/>
        </w:rPr>
        <w:t>2021;11:613780</w:t>
      </w:r>
      <w:proofErr w:type="gramEnd"/>
      <w:r>
        <w:rPr>
          <w:rFonts w:cs="Arial"/>
        </w:rPr>
        <w:t>. Published 2021 Jan 11. doi:10.3389/fphar.2020.613780</w:t>
      </w:r>
      <w:r>
        <w:rPr>
          <w:rFonts w:cs="Arial"/>
        </w:rPr>
        <w:br/>
      </w:r>
      <w:r>
        <w:rPr>
          <w:rFonts w:cs="Arial"/>
        </w:rPr>
        <w:br/>
        <w:t>Funding: Public funding – Russian Science Foundation</w:t>
      </w:r>
      <w:r>
        <w:rPr>
          <w:rFonts w:cs="Arial"/>
        </w:rPr>
        <w:br/>
        <w:t>Amendments: None.</w:t>
      </w:r>
      <w:r>
        <w:rPr>
          <w:rFonts w:cs="Arial"/>
        </w:rPr>
        <w:br/>
      </w:r>
      <w:r>
        <w:rPr>
          <w:rFonts w:cs="Arial"/>
        </w:rPr>
        <w:br/>
      </w:r>
      <w:r w:rsidRPr="00562030">
        <w:rPr>
          <w:rFonts w:cs="Arial"/>
          <w:b/>
          <w:bCs/>
        </w:rPr>
        <w:t>Study 189</w:t>
      </w:r>
      <w:r>
        <w:rPr>
          <w:rFonts w:cs="Arial"/>
        </w:rPr>
        <w:br/>
      </w:r>
      <w:r>
        <w:rPr>
          <w:rFonts w:cs="Arial"/>
        </w:rPr>
        <w:t xml:space="preserve">Jiang H, Zhou Y, Nabavi SM, et al. Mechanisms of Oxidized LDL-Mediated Endothelial </w:t>
      </w:r>
      <w:proofErr w:type="gramStart"/>
      <w:r>
        <w:rPr>
          <w:rFonts w:cs="Arial"/>
        </w:rPr>
        <w:t>Dysfunction</w:t>
      </w:r>
      <w:proofErr w:type="gramEnd"/>
      <w:r>
        <w:rPr>
          <w:rFonts w:cs="Arial"/>
        </w:rPr>
        <w:t xml:space="preserve"> and Its Consequences for the Development of Atherosclerosis. </w:t>
      </w:r>
      <w:r>
        <w:rPr>
          <w:rFonts w:ascii="Roboto" w:hAnsi="Roboto" w:cs="Arial"/>
          <w:i/>
          <w:iCs/>
          <w:color w:val="212121"/>
          <w:sz w:val="26"/>
          <w:szCs w:val="26"/>
          <w:shd w:val="clear" w:color="auto" w:fill="FFFFFF"/>
        </w:rPr>
        <w:t>Front Cardiovasc Med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>2022;9:925923</w:t>
      </w:r>
      <w:proofErr w:type="gramEnd"/>
      <w:r>
        <w:rPr>
          <w:rFonts w:cs="Arial"/>
        </w:rPr>
        <w:t>. Published 2022 Jun 1. doi:10.3389/fcvm.2022.925923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lastRenderedPageBreak/>
        <w:t xml:space="preserve">Funding: </w:t>
      </w:r>
      <w:r w:rsidRPr="00562030">
        <w:rPr>
          <w:rFonts w:cs="Arial"/>
        </w:rPr>
        <w:t>Public Funding - National Key Program, National Natural Science Foundation of China, Strategic Priority Research Program of Chinese Academy of Sciences</w:t>
      </w:r>
      <w:r>
        <w:rPr>
          <w:rFonts w:cs="Arial"/>
        </w:rPr>
        <w:br/>
        <w:t>Amendments: None.</w:t>
      </w:r>
      <w:r>
        <w:rPr>
          <w:rFonts w:cs="Arial"/>
        </w:rPr>
        <w:br/>
      </w:r>
    </w:p>
    <w:sectPr w:rsidR="00DB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nkMacSystemFon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F2"/>
    <w:rsid w:val="00206E03"/>
    <w:rsid w:val="003562EB"/>
    <w:rsid w:val="003D4BBF"/>
    <w:rsid w:val="005458F2"/>
    <w:rsid w:val="00562030"/>
    <w:rsid w:val="00C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E59"/>
  <w15:chartTrackingRefBased/>
  <w15:docId w15:val="{22289E96-346C-4861-964D-D261937E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V</dc:creator>
  <cp:keywords/>
  <dc:description/>
  <cp:lastModifiedBy>NIC V</cp:lastModifiedBy>
  <cp:revision>2</cp:revision>
  <dcterms:created xsi:type="dcterms:W3CDTF">2023-08-02T18:24:00Z</dcterms:created>
  <dcterms:modified xsi:type="dcterms:W3CDTF">2023-08-02T18:29:00Z</dcterms:modified>
</cp:coreProperties>
</file>